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0560" w14:textId="4E613A6A" w:rsidR="000752D3" w:rsidRPr="00754793" w:rsidRDefault="00754793" w:rsidP="00754793">
      <w:pPr>
        <w:jc w:val="center"/>
        <w:rPr>
          <w:b/>
          <w:bCs/>
          <w:lang w:val="es-ES"/>
        </w:rPr>
      </w:pPr>
      <w:r w:rsidRPr="00754793">
        <w:rPr>
          <w:b/>
          <w:bCs/>
          <w:lang w:val="es-ES"/>
        </w:rPr>
        <w:t>ESPECIFICACIONES TECNICAS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0"/>
        <w:gridCol w:w="4622"/>
        <w:gridCol w:w="3312"/>
      </w:tblGrid>
      <w:tr w:rsidR="00754793" w14:paraId="3599F846" w14:textId="77777777" w:rsidTr="00754793">
        <w:tc>
          <w:tcPr>
            <w:tcW w:w="562" w:type="dxa"/>
          </w:tcPr>
          <w:p w14:paraId="2D23D72B" w14:textId="41D82F4A" w:rsidR="00754793" w:rsidRPr="001F48B3" w:rsidRDefault="00754793">
            <w:pPr>
              <w:rPr>
                <w:b/>
                <w:bCs/>
                <w:lang w:val="es-ES"/>
              </w:rPr>
            </w:pPr>
            <w:proofErr w:type="spellStart"/>
            <w:r w:rsidRPr="001F48B3">
              <w:rPr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4678" w:type="dxa"/>
          </w:tcPr>
          <w:p w14:paraId="53026A0E" w14:textId="5934ACDE" w:rsidR="00754793" w:rsidRPr="001F48B3" w:rsidRDefault="00754793">
            <w:pPr>
              <w:rPr>
                <w:b/>
                <w:bCs/>
                <w:lang w:val="es-ES"/>
              </w:rPr>
            </w:pPr>
            <w:r w:rsidRPr="001F48B3">
              <w:rPr>
                <w:b/>
                <w:bCs/>
                <w:lang w:val="es-ES"/>
              </w:rPr>
              <w:t>DESCRIPCION</w:t>
            </w:r>
          </w:p>
        </w:tc>
        <w:tc>
          <w:tcPr>
            <w:tcW w:w="2835" w:type="dxa"/>
          </w:tcPr>
          <w:p w14:paraId="1EAB8855" w14:textId="4A4FFD3E" w:rsidR="00754793" w:rsidRPr="001F48B3" w:rsidRDefault="00754793">
            <w:pPr>
              <w:rPr>
                <w:b/>
                <w:bCs/>
                <w:lang w:val="es-ES"/>
              </w:rPr>
            </w:pPr>
            <w:r w:rsidRPr="001F48B3">
              <w:rPr>
                <w:b/>
                <w:bCs/>
                <w:lang w:val="es-ES"/>
              </w:rPr>
              <w:t>IMAGEN DE REFERENCIA</w:t>
            </w:r>
          </w:p>
        </w:tc>
      </w:tr>
      <w:tr w:rsidR="00754793" w14:paraId="1183D10F" w14:textId="77777777" w:rsidTr="001F48B3">
        <w:trPr>
          <w:trHeight w:val="3583"/>
        </w:trPr>
        <w:tc>
          <w:tcPr>
            <w:tcW w:w="562" w:type="dxa"/>
            <w:vAlign w:val="center"/>
          </w:tcPr>
          <w:p w14:paraId="6ED675A3" w14:textId="07383AC6" w:rsidR="00754793" w:rsidRDefault="001F48B3" w:rsidP="001F48B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4678" w:type="dxa"/>
          </w:tcPr>
          <w:p w14:paraId="3FFD030E" w14:textId="77777777" w:rsidR="001F48B3" w:rsidRDefault="001F48B3" w:rsidP="00C85DDA">
            <w:pPr>
              <w:jc w:val="both"/>
              <w:rPr>
                <w:sz w:val="18"/>
                <w:szCs w:val="18"/>
              </w:rPr>
            </w:pPr>
            <w:r w:rsidRPr="001F48B3">
              <w:t>UNIDAD DE ESTADO SÓLIDO (SSD) KINGSTON 500 GB</w:t>
            </w:r>
            <w:r>
              <w:br/>
            </w:r>
            <w:r w:rsidRPr="001F48B3">
              <w:rPr>
                <w:sz w:val="18"/>
                <w:szCs w:val="18"/>
              </w:rPr>
              <w:t>Las unidades de estado sólido permitirán renovar y optimizar el almacenamiento de las computadoras de la biblioteca, mejorando significativamente la velocidad de arranque, la respuesta de los sistemas y el rendimiento general de los equipos. Se solicita lo siguiente:</w:t>
            </w:r>
          </w:p>
          <w:p w14:paraId="6AEA777A" w14:textId="77777777" w:rsidR="001F48B3" w:rsidRDefault="001F48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1F48B3">
              <w:rPr>
                <w:sz w:val="18"/>
                <w:szCs w:val="18"/>
              </w:rPr>
              <w:t xml:space="preserve">• Marca / Modelo: Kingston NV3. </w:t>
            </w:r>
          </w:p>
          <w:p w14:paraId="6E2F084A" w14:textId="77777777" w:rsidR="001F48B3" w:rsidRDefault="001F48B3">
            <w:pPr>
              <w:rPr>
                <w:sz w:val="18"/>
                <w:szCs w:val="18"/>
              </w:rPr>
            </w:pPr>
            <w:r w:rsidRPr="001F48B3">
              <w:rPr>
                <w:sz w:val="18"/>
                <w:szCs w:val="18"/>
              </w:rPr>
              <w:t xml:space="preserve">• Capacidad: 500 GB. </w:t>
            </w:r>
          </w:p>
          <w:p w14:paraId="356C963A" w14:textId="77777777" w:rsidR="001F48B3" w:rsidRDefault="001F48B3">
            <w:pPr>
              <w:rPr>
                <w:sz w:val="18"/>
                <w:szCs w:val="18"/>
              </w:rPr>
            </w:pPr>
            <w:r w:rsidRPr="001F48B3">
              <w:rPr>
                <w:sz w:val="18"/>
                <w:szCs w:val="18"/>
              </w:rPr>
              <w:t xml:space="preserve">• Tipo / Formato: SSD M.2 PCIe 4.0 </w:t>
            </w:r>
            <w:proofErr w:type="spellStart"/>
            <w:r w:rsidRPr="001F48B3">
              <w:rPr>
                <w:sz w:val="18"/>
                <w:szCs w:val="18"/>
              </w:rPr>
              <w:t>NVMe</w:t>
            </w:r>
            <w:proofErr w:type="spellEnd"/>
            <w:r w:rsidRPr="001F48B3">
              <w:rPr>
                <w:sz w:val="18"/>
                <w:szCs w:val="18"/>
              </w:rPr>
              <w:t xml:space="preserve">. </w:t>
            </w:r>
          </w:p>
          <w:p w14:paraId="4BF102C0" w14:textId="7803576A" w:rsidR="001F48B3" w:rsidRDefault="001F48B3">
            <w:pPr>
              <w:rPr>
                <w:sz w:val="18"/>
                <w:szCs w:val="18"/>
              </w:rPr>
            </w:pPr>
            <w:r w:rsidRPr="001F48B3">
              <w:rPr>
                <w:sz w:val="18"/>
                <w:szCs w:val="18"/>
              </w:rPr>
              <w:t xml:space="preserve">• Velocidad de lectura: Hasta 5000 MB/s. </w:t>
            </w:r>
          </w:p>
          <w:p w14:paraId="564960AD" w14:textId="77777777" w:rsidR="001F48B3" w:rsidRDefault="001F48B3">
            <w:pPr>
              <w:rPr>
                <w:sz w:val="18"/>
                <w:szCs w:val="18"/>
              </w:rPr>
            </w:pPr>
            <w:r w:rsidRPr="001F48B3">
              <w:rPr>
                <w:sz w:val="18"/>
                <w:szCs w:val="18"/>
              </w:rPr>
              <w:t xml:space="preserve">• Velocidad de escritura: Hasta 3000 MB/s. </w:t>
            </w:r>
          </w:p>
          <w:p w14:paraId="346BD0BF" w14:textId="333D6B47" w:rsidR="00754793" w:rsidRDefault="001F48B3">
            <w:pPr>
              <w:rPr>
                <w:lang w:val="es-ES"/>
              </w:rPr>
            </w:pPr>
            <w:r w:rsidRPr="001F48B3">
              <w:rPr>
                <w:sz w:val="18"/>
                <w:szCs w:val="18"/>
              </w:rPr>
              <w:t>• Uso: Almacenamiento y optimización de las PC de la Biblioteca Central</w:t>
            </w:r>
          </w:p>
        </w:tc>
        <w:tc>
          <w:tcPr>
            <w:tcW w:w="2835" w:type="dxa"/>
          </w:tcPr>
          <w:p w14:paraId="273403D5" w14:textId="118D7F99" w:rsidR="00754793" w:rsidRDefault="001F48B3">
            <w:pPr>
              <w:rPr>
                <w:lang w:val="es-ES"/>
              </w:rPr>
            </w:pPr>
            <w:r w:rsidRPr="001F48B3">
              <w:rPr>
                <w:lang w:val="es-ES"/>
              </w:rPr>
              <w:drawing>
                <wp:anchor distT="0" distB="0" distL="114300" distR="114300" simplePos="0" relativeHeight="251658240" behindDoc="0" locked="0" layoutInCell="1" allowOverlap="1" wp14:anchorId="7C64B8D1" wp14:editId="58E29342">
                  <wp:simplePos x="0" y="0"/>
                  <wp:positionH relativeFrom="column">
                    <wp:posOffset>-33692</wp:posOffset>
                  </wp:positionH>
                  <wp:positionV relativeFrom="paragraph">
                    <wp:posOffset>471133</wp:posOffset>
                  </wp:positionV>
                  <wp:extent cx="1965960" cy="1193165"/>
                  <wp:effectExtent l="0" t="0" r="0" b="6985"/>
                  <wp:wrapThrough wrapText="bothSides">
                    <wp:wrapPolygon edited="0">
                      <wp:start x="0" y="0"/>
                      <wp:lineTo x="0" y="21382"/>
                      <wp:lineTo x="21349" y="21382"/>
                      <wp:lineTo x="21349" y="0"/>
                      <wp:lineTo x="0" y="0"/>
                    </wp:wrapPolygon>
                  </wp:wrapThrough>
                  <wp:docPr id="115261014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610146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193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754793" w14:paraId="01F84671" w14:textId="77777777" w:rsidTr="00C85DDA">
        <w:trPr>
          <w:trHeight w:val="2681"/>
        </w:trPr>
        <w:tc>
          <w:tcPr>
            <w:tcW w:w="562" w:type="dxa"/>
            <w:vAlign w:val="center"/>
          </w:tcPr>
          <w:p w14:paraId="08F7D54A" w14:textId="49FD275D" w:rsidR="00754793" w:rsidRDefault="00C85DDA" w:rsidP="00C85DD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4678" w:type="dxa"/>
          </w:tcPr>
          <w:p w14:paraId="2384958D" w14:textId="77777777" w:rsidR="00754793" w:rsidRDefault="00C85DDA">
            <w:pPr>
              <w:rPr>
                <w:lang w:val="es-ES"/>
              </w:rPr>
            </w:pPr>
            <w:r>
              <w:rPr>
                <w:lang w:val="es-ES"/>
              </w:rPr>
              <w:t xml:space="preserve">INYECTOR DE </w:t>
            </w:r>
            <w:proofErr w:type="spellStart"/>
            <w:r>
              <w:rPr>
                <w:lang w:val="es-ES"/>
              </w:rPr>
              <w:t>DE</w:t>
            </w:r>
            <w:proofErr w:type="spellEnd"/>
            <w:r>
              <w:rPr>
                <w:lang w:val="es-ES"/>
              </w:rPr>
              <w:t xml:space="preserve"> CORRIENTE VIA ETHERNET</w:t>
            </w:r>
          </w:p>
          <w:p w14:paraId="3B4E4442" w14:textId="77777777" w:rsidR="00C85DDA" w:rsidRDefault="00C85DDA" w:rsidP="00C85DDA">
            <w:pPr>
              <w:jc w:val="both"/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>Los inyectores POE permiten suministrar energía eléctrica a través del cable de red a los dispositivos compatibles (puntos de acceso, cámaras IP y otros), facilitando su instalación y reemplazo. Se solicita lo siguiente:</w:t>
            </w:r>
          </w:p>
          <w:p w14:paraId="71E3D257" w14:textId="22E59438" w:rsidR="00C85DDA" w:rsidRPr="00C85DDA" w:rsidRDefault="00C85DDA" w:rsidP="00C85DDA">
            <w:pPr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>• Marca / Modelo: Ubiquiti U-</w:t>
            </w:r>
            <w:proofErr w:type="spellStart"/>
            <w:r w:rsidRPr="00C85DDA">
              <w:rPr>
                <w:sz w:val="18"/>
                <w:szCs w:val="18"/>
              </w:rPr>
              <w:t>poe</w:t>
            </w:r>
            <w:proofErr w:type="spellEnd"/>
            <w:r w:rsidRPr="00C85DDA">
              <w:rPr>
                <w:sz w:val="18"/>
                <w:szCs w:val="18"/>
              </w:rPr>
              <w:t xml:space="preserve"> </w:t>
            </w:r>
            <w:proofErr w:type="spellStart"/>
            <w:r w:rsidRPr="00C85DDA">
              <w:rPr>
                <w:sz w:val="18"/>
                <w:szCs w:val="18"/>
              </w:rPr>
              <w:t>Arteus</w:t>
            </w:r>
            <w:proofErr w:type="spellEnd"/>
            <w:r w:rsidRPr="00C85DDA">
              <w:rPr>
                <w:sz w:val="18"/>
                <w:szCs w:val="18"/>
              </w:rPr>
              <w:t xml:space="preserve"> Inyector Poe </w:t>
            </w:r>
            <w:proofErr w:type="spellStart"/>
            <w:r w:rsidRPr="00C85DDA">
              <w:rPr>
                <w:sz w:val="18"/>
                <w:szCs w:val="18"/>
              </w:rPr>
              <w:t>Unifi</w:t>
            </w:r>
            <w:proofErr w:type="spellEnd"/>
            <w:r w:rsidRPr="00C85DDA">
              <w:rPr>
                <w:sz w:val="18"/>
                <w:szCs w:val="18"/>
              </w:rPr>
              <w:t xml:space="preserve">. </w:t>
            </w:r>
          </w:p>
          <w:p w14:paraId="1D6AF7BE" w14:textId="77777777" w:rsidR="00C85DDA" w:rsidRPr="00C85DDA" w:rsidRDefault="00C85DDA" w:rsidP="00C85DDA">
            <w:pPr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>• Tipo: Inyector POE de puerto único (</w:t>
            </w:r>
            <w:proofErr w:type="gramStart"/>
            <w:r w:rsidRPr="00C85DDA">
              <w:rPr>
                <w:sz w:val="18"/>
                <w:szCs w:val="18"/>
              </w:rPr>
              <w:t>Single</w:t>
            </w:r>
            <w:proofErr w:type="gramEnd"/>
            <w:r w:rsidRPr="00C85DDA">
              <w:rPr>
                <w:sz w:val="18"/>
                <w:szCs w:val="18"/>
              </w:rPr>
              <w:t xml:space="preserve"> Port </w:t>
            </w:r>
            <w:proofErr w:type="spellStart"/>
            <w:r w:rsidRPr="00C85DDA">
              <w:rPr>
                <w:sz w:val="18"/>
                <w:szCs w:val="18"/>
              </w:rPr>
              <w:t>Injector</w:t>
            </w:r>
            <w:proofErr w:type="spellEnd"/>
            <w:r w:rsidRPr="00C85DDA">
              <w:rPr>
                <w:sz w:val="18"/>
                <w:szCs w:val="18"/>
              </w:rPr>
              <w:t xml:space="preserve">). </w:t>
            </w:r>
          </w:p>
          <w:p w14:paraId="70080A44" w14:textId="77777777" w:rsidR="00C85DDA" w:rsidRPr="00C85DDA" w:rsidRDefault="00C85DDA" w:rsidP="00C85DDA">
            <w:pPr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 xml:space="preserve">• Estándar: IEEE 802.3af </w:t>
            </w:r>
            <w:proofErr w:type="spellStart"/>
            <w:r w:rsidRPr="00C85DDA">
              <w:rPr>
                <w:sz w:val="18"/>
                <w:szCs w:val="18"/>
              </w:rPr>
              <w:t>Compliant</w:t>
            </w:r>
            <w:proofErr w:type="spellEnd"/>
            <w:r w:rsidRPr="00C85DDA">
              <w:rPr>
                <w:sz w:val="18"/>
                <w:szCs w:val="18"/>
              </w:rPr>
              <w:t xml:space="preserve">. </w:t>
            </w:r>
          </w:p>
          <w:p w14:paraId="3B09F285" w14:textId="77777777" w:rsidR="00C85DDA" w:rsidRPr="00C85DDA" w:rsidRDefault="00C85DDA" w:rsidP="00C85DDA">
            <w:pPr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 xml:space="preserve">• Voltaje de entrada: 100-240V ~ 0.4A, 50-60 Hz. </w:t>
            </w:r>
          </w:p>
          <w:p w14:paraId="1418FAB9" w14:textId="77777777" w:rsidR="00C85DDA" w:rsidRPr="00C85DDA" w:rsidRDefault="00C85DDA" w:rsidP="00C85DDA">
            <w:pPr>
              <w:rPr>
                <w:sz w:val="18"/>
                <w:szCs w:val="18"/>
              </w:rPr>
            </w:pPr>
            <w:r w:rsidRPr="00C85DDA">
              <w:rPr>
                <w:sz w:val="18"/>
                <w:szCs w:val="18"/>
              </w:rPr>
              <w:t xml:space="preserve">• Voltaje de salida: 48V </w:t>
            </w:r>
            <w:r w:rsidRPr="00C85DDA">
              <w:rPr>
                <w:rFonts w:ascii="Cambria Math" w:hAnsi="Cambria Math" w:cs="Cambria Math"/>
                <w:sz w:val="18"/>
                <w:szCs w:val="18"/>
              </w:rPr>
              <w:t>⎓</w:t>
            </w:r>
            <w:r w:rsidRPr="00C85DDA">
              <w:rPr>
                <w:sz w:val="18"/>
                <w:szCs w:val="18"/>
              </w:rPr>
              <w:t xml:space="preserve"> 0.32A (PIN 4,5 = +48V / PIN 7,8 = RETURN). </w:t>
            </w:r>
          </w:p>
          <w:p w14:paraId="26BE2B23" w14:textId="07A9B1DC" w:rsidR="00C85DDA" w:rsidRDefault="00C85DDA" w:rsidP="00C85DDA">
            <w:pPr>
              <w:rPr>
                <w:lang w:val="es-ES"/>
              </w:rPr>
            </w:pPr>
            <w:r w:rsidRPr="00C85DDA">
              <w:rPr>
                <w:sz w:val="18"/>
                <w:szCs w:val="18"/>
              </w:rPr>
              <w:t>• Uso: Alimentación de dispositivos de red de la Biblioteca Central.</w:t>
            </w:r>
          </w:p>
        </w:tc>
        <w:tc>
          <w:tcPr>
            <w:tcW w:w="2835" w:type="dxa"/>
          </w:tcPr>
          <w:p w14:paraId="68899A7B" w14:textId="2DD9492C" w:rsidR="00754793" w:rsidRDefault="00C85DDA">
            <w:pPr>
              <w:rPr>
                <w:lang w:val="es-ES"/>
              </w:rPr>
            </w:pPr>
            <w:r w:rsidRPr="00C85DDA">
              <w:rPr>
                <w:lang w:val="es-ES"/>
              </w:rPr>
              <w:drawing>
                <wp:anchor distT="0" distB="0" distL="114300" distR="114300" simplePos="0" relativeHeight="251659264" behindDoc="0" locked="0" layoutInCell="1" allowOverlap="1" wp14:anchorId="03D8EAEA" wp14:editId="1EF8CDD5">
                  <wp:simplePos x="0" y="0"/>
                  <wp:positionH relativeFrom="column">
                    <wp:posOffset>67368</wp:posOffset>
                  </wp:positionH>
                  <wp:positionV relativeFrom="paragraph">
                    <wp:posOffset>86995</wp:posOffset>
                  </wp:positionV>
                  <wp:extent cx="1818228" cy="3012440"/>
                  <wp:effectExtent l="0" t="0" r="0" b="0"/>
                  <wp:wrapThrough wrapText="bothSides">
                    <wp:wrapPolygon edited="0">
                      <wp:start x="0" y="0"/>
                      <wp:lineTo x="0" y="21445"/>
                      <wp:lineTo x="21276" y="21445"/>
                      <wp:lineTo x="21276" y="0"/>
                      <wp:lineTo x="0" y="0"/>
                    </wp:wrapPolygon>
                  </wp:wrapThrough>
                  <wp:docPr id="19958170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81705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228" cy="301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4793" w14:paraId="60A03C10" w14:textId="77777777" w:rsidTr="00EA7270">
        <w:trPr>
          <w:trHeight w:val="5386"/>
        </w:trPr>
        <w:tc>
          <w:tcPr>
            <w:tcW w:w="562" w:type="dxa"/>
            <w:vAlign w:val="center"/>
          </w:tcPr>
          <w:p w14:paraId="2CB303CA" w14:textId="72D01F32" w:rsidR="00754793" w:rsidRDefault="00AC1FAD" w:rsidP="00AC1FA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3</w:t>
            </w:r>
          </w:p>
        </w:tc>
        <w:tc>
          <w:tcPr>
            <w:tcW w:w="4678" w:type="dxa"/>
          </w:tcPr>
          <w:p w14:paraId="62D12C94" w14:textId="77777777" w:rsidR="00754793" w:rsidRDefault="00AC1FAD">
            <w:r w:rsidRPr="00AC1FAD">
              <w:t>FUENTES DE PODER (ATX) PARA EQUIPOS DE CÓMPUTO</w:t>
            </w:r>
          </w:p>
          <w:p w14:paraId="529DE3C2" w14:textId="77777777" w:rsidR="00AC1FAD" w:rsidRDefault="00AC1FAD">
            <w:pPr>
              <w:rPr>
                <w:sz w:val="18"/>
                <w:szCs w:val="18"/>
              </w:rPr>
            </w:pPr>
            <w:r w:rsidRPr="00AC1FAD">
              <w:rPr>
                <w:sz w:val="18"/>
                <w:szCs w:val="18"/>
              </w:rPr>
              <w:t>Para realizar los mantenimientos correctivos y preventivos que sean necesarios a las computadoras de la Biblioteca Central, se requiere contar con un stock de fuentes de poder, dado que varios equipos presentan fallas o desgaste en este componente. Las computadoras de la biblioteca comparten en su mayoría las mismas características (placa Gigabyte B360M-DS3H, procesador Intel Core i7-8700, 32 GB de RAM), por lo que se solicita una fuente de poder compatible con dichos equipos:</w:t>
            </w:r>
          </w:p>
          <w:p w14:paraId="06351E53" w14:textId="77777777" w:rsidR="00AC1FAD" w:rsidRDefault="00AC1FAD">
            <w:r w:rsidRPr="00AC1FAD">
              <w:t xml:space="preserve">Tipo / Formato: Fuente de poder ATX (compatible con placas Micro-ATX) </w:t>
            </w:r>
          </w:p>
          <w:p w14:paraId="25D4E85D" w14:textId="77777777" w:rsidR="00AC1FAD" w:rsidRPr="00AC1FAD" w:rsidRDefault="00AC1FAD">
            <w:pPr>
              <w:rPr>
                <w:sz w:val="18"/>
                <w:szCs w:val="18"/>
              </w:rPr>
            </w:pPr>
            <w:r w:rsidRPr="00AC1FAD">
              <w:t xml:space="preserve">• </w:t>
            </w:r>
            <w:r w:rsidRPr="00AC1FAD">
              <w:rPr>
                <w:sz w:val="18"/>
                <w:szCs w:val="18"/>
              </w:rPr>
              <w:t xml:space="preserve">Potencia: 600 W reales (mínimo recomendado) </w:t>
            </w:r>
          </w:p>
          <w:p w14:paraId="64FD88C6" w14:textId="77777777" w:rsidR="00AC1FAD" w:rsidRPr="00AC1FAD" w:rsidRDefault="00AC1FAD">
            <w:pPr>
              <w:rPr>
                <w:sz w:val="18"/>
                <w:szCs w:val="18"/>
              </w:rPr>
            </w:pPr>
            <w:r w:rsidRPr="00AC1FAD">
              <w:rPr>
                <w:sz w:val="18"/>
                <w:szCs w:val="18"/>
              </w:rPr>
              <w:t xml:space="preserve">• Conectores: 24 pines (placa madre), 4+4 pines (CPU/EPS), SATA y Molex </w:t>
            </w:r>
          </w:p>
          <w:p w14:paraId="3EAC385F" w14:textId="77777777" w:rsidR="00AC1FAD" w:rsidRPr="00AC1FAD" w:rsidRDefault="00AC1FAD">
            <w:pPr>
              <w:rPr>
                <w:sz w:val="18"/>
                <w:szCs w:val="18"/>
              </w:rPr>
            </w:pPr>
            <w:r w:rsidRPr="00AC1FAD">
              <w:rPr>
                <w:sz w:val="18"/>
                <w:szCs w:val="18"/>
              </w:rPr>
              <w:t xml:space="preserve">• Voltaje de entrada: 100-240V ~ 50/60 Hz • Ventilación: Ventilador de 120 mm, con protecciones contra sobretensión y cortocircuito </w:t>
            </w:r>
          </w:p>
          <w:p w14:paraId="6AA532B3" w14:textId="6D750E23" w:rsidR="00AC1FAD" w:rsidRDefault="00AC1FAD">
            <w:pPr>
              <w:rPr>
                <w:lang w:val="es-ES"/>
              </w:rPr>
            </w:pPr>
            <w:r w:rsidRPr="00AC1FAD">
              <w:rPr>
                <w:sz w:val="18"/>
                <w:szCs w:val="18"/>
              </w:rPr>
              <w:t>• Uso: Mantenimiento correctivo y preventivo de las PC de la Biblioteca Central</w:t>
            </w:r>
          </w:p>
        </w:tc>
        <w:tc>
          <w:tcPr>
            <w:tcW w:w="2835" w:type="dxa"/>
          </w:tcPr>
          <w:p w14:paraId="5E96F775" w14:textId="77777777" w:rsidR="00754793" w:rsidRDefault="00754793">
            <w:pPr>
              <w:rPr>
                <w:lang w:val="es-ES"/>
              </w:rPr>
            </w:pPr>
          </w:p>
        </w:tc>
      </w:tr>
    </w:tbl>
    <w:p w14:paraId="4F7B8AF0" w14:textId="77777777" w:rsidR="00754793" w:rsidRPr="00754793" w:rsidRDefault="00754793">
      <w:pPr>
        <w:rPr>
          <w:lang w:val="es-ES"/>
        </w:rPr>
      </w:pPr>
    </w:p>
    <w:sectPr w:rsidR="00754793" w:rsidRPr="007547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93"/>
    <w:rsid w:val="000752D3"/>
    <w:rsid w:val="000A038C"/>
    <w:rsid w:val="001F48B3"/>
    <w:rsid w:val="00754793"/>
    <w:rsid w:val="008B6F89"/>
    <w:rsid w:val="00AC1FAD"/>
    <w:rsid w:val="00C85DDA"/>
    <w:rsid w:val="00E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FAE6C"/>
  <w15:chartTrackingRefBased/>
  <w15:docId w15:val="{EC69A59B-A7E9-4CF5-A74E-390D93F7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4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4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4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4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4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4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4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4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4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4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4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4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47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47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47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47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47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47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4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4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4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4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4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47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47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47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4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47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479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5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Sthephanie Maguiña Moreno-Economía</dc:creator>
  <cp:keywords/>
  <dc:description/>
  <cp:lastModifiedBy>Sthephanie Maguiña Moreno-Economía</cp:lastModifiedBy>
  <cp:revision>3</cp:revision>
  <dcterms:created xsi:type="dcterms:W3CDTF">2026-06-15T19:55:00Z</dcterms:created>
  <dcterms:modified xsi:type="dcterms:W3CDTF">2026-06-15T20:33:00Z</dcterms:modified>
</cp:coreProperties>
</file>