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CAF7" w14:textId="449C828D" w:rsidR="00EE4EC7" w:rsidRDefault="00BD43CD" w:rsidP="00683276">
      <w:pPr>
        <w:jc w:val="center"/>
      </w:pPr>
      <w:r>
        <w:rPr>
          <w:b/>
          <w:bCs/>
          <w:sz w:val="24"/>
          <w:szCs w:val="24"/>
        </w:rPr>
        <w:t>TÉRMINOS DE REFERENCIA PARA LA CONTRATACIÓN DE</w:t>
      </w:r>
      <w:r w:rsidR="000352D1">
        <w:rPr>
          <w:b/>
          <w:bCs/>
          <w:sz w:val="24"/>
          <w:szCs w:val="24"/>
        </w:rPr>
        <w:t>L</w:t>
      </w:r>
      <w:r>
        <w:rPr>
          <w:b/>
          <w:bCs/>
          <w:sz w:val="24"/>
          <w:szCs w:val="24"/>
        </w:rPr>
        <w:t xml:space="preserve"> SERVICIO DE </w:t>
      </w:r>
      <w:r w:rsidR="00B41472">
        <w:rPr>
          <w:b/>
          <w:bCs/>
          <w:sz w:val="24"/>
          <w:szCs w:val="24"/>
        </w:rPr>
        <w:t>DESARROLLO</w:t>
      </w:r>
      <w:r>
        <w:rPr>
          <w:b/>
          <w:bCs/>
          <w:sz w:val="24"/>
          <w:szCs w:val="24"/>
        </w:rPr>
        <w:t xml:space="preserve"> </w:t>
      </w:r>
      <w:r w:rsidR="008641DC">
        <w:rPr>
          <w:b/>
          <w:bCs/>
          <w:sz w:val="24"/>
          <w:szCs w:val="24"/>
        </w:rPr>
        <w:t>Y DOCUMENTACIÓN DE APLICATIVO WEB</w:t>
      </w:r>
    </w:p>
    <w:p w14:paraId="1C9ACAF8" w14:textId="0A50D802" w:rsidR="00EE4EC7" w:rsidRDefault="00BD43CD" w:rsidP="00683276">
      <w:pPr>
        <w:pStyle w:val="Prrafodelista"/>
        <w:numPr>
          <w:ilvl w:val="0"/>
          <w:numId w:val="4"/>
        </w:numPr>
        <w:spacing w:before="280"/>
      </w:pPr>
      <w:r w:rsidRPr="007A68C3">
        <w:rPr>
          <w:b/>
          <w:bCs/>
        </w:rPr>
        <w:t>DENOMINACION DE LA CONTRATACION:</w:t>
      </w:r>
    </w:p>
    <w:p w14:paraId="1C9ACAF9" w14:textId="20B28FA1" w:rsidR="00EE4EC7" w:rsidRDefault="00C92526" w:rsidP="0022786A">
      <w:pPr>
        <w:ind w:left="708"/>
        <w:jc w:val="both"/>
      </w:pPr>
      <w:r>
        <w:t>Se</w:t>
      </w:r>
      <w:r w:rsidRPr="00C92526">
        <w:t>rvicio de Desarrollo y Documentación de Aplicativo Web</w:t>
      </w:r>
      <w:r w:rsidR="00004964">
        <w:t xml:space="preserve"> </w:t>
      </w:r>
      <w:r w:rsidR="008C6351">
        <w:t>correspondiente al</w:t>
      </w:r>
      <w:r w:rsidR="00004964">
        <w:t xml:space="preserve"> módulo de </w:t>
      </w:r>
      <w:r w:rsidR="001F7859">
        <w:t>Gestión de Eventos del Sistema de Gestión de la Investigación</w:t>
      </w:r>
      <w:r w:rsidR="00F92770">
        <w:t xml:space="preserve"> (SGI)</w:t>
      </w:r>
      <w:r w:rsidR="00BD43CD">
        <w:t>.</w:t>
      </w:r>
    </w:p>
    <w:p w14:paraId="1C9ACAFA" w14:textId="6D6F5030" w:rsidR="00EE4EC7" w:rsidRDefault="00BD43CD" w:rsidP="0022786A">
      <w:pPr>
        <w:pStyle w:val="Prrafodelista"/>
        <w:numPr>
          <w:ilvl w:val="0"/>
          <w:numId w:val="4"/>
        </w:numPr>
        <w:spacing w:before="280"/>
        <w:jc w:val="both"/>
      </w:pPr>
      <w:r w:rsidRPr="007A68C3">
        <w:rPr>
          <w:b/>
          <w:bCs/>
        </w:rPr>
        <w:t>FINALIDAD PÚBLICA:</w:t>
      </w:r>
    </w:p>
    <w:p w14:paraId="1C9ACAFB" w14:textId="372AD8B8" w:rsidR="00EE4EC7" w:rsidRDefault="00BD43CD" w:rsidP="0022786A">
      <w:pPr>
        <w:ind w:left="708"/>
        <w:jc w:val="both"/>
      </w:pPr>
      <w:r>
        <w:t>Se requiere la contratación de</w:t>
      </w:r>
      <w:r w:rsidR="00996991">
        <w:t>l</w:t>
      </w:r>
      <w:r>
        <w:t xml:space="preserve"> </w:t>
      </w:r>
      <w:r w:rsidR="00996991">
        <w:t>Se</w:t>
      </w:r>
      <w:r w:rsidR="00996991" w:rsidRPr="00C92526">
        <w:t>rvicio de Desarrollo y Documentación de Aplicativo Web</w:t>
      </w:r>
      <w:r w:rsidR="00996991">
        <w:t xml:space="preserve"> </w:t>
      </w:r>
      <w:r w:rsidR="008C6351">
        <w:t>correspondiente al</w:t>
      </w:r>
      <w:r w:rsidR="00996991">
        <w:t xml:space="preserve"> módulo de Gestión de Eventos del </w:t>
      </w:r>
      <w:r w:rsidR="00F92770">
        <w:t>SGI,</w:t>
      </w:r>
      <w:r>
        <w:t xml:space="preserve"> para la planificación, ejecución y control de eventos académicos y científicos del Instituto de Investigación, incluyendo la gestión de ponentes, inscripciones, control de asistencia y generación de informes institucionales.</w:t>
      </w:r>
    </w:p>
    <w:p w14:paraId="1C9ACAFC" w14:textId="7756C20C" w:rsidR="00EE4EC7" w:rsidRDefault="00BD43CD" w:rsidP="0022786A">
      <w:pPr>
        <w:pStyle w:val="Prrafodelista"/>
        <w:numPr>
          <w:ilvl w:val="0"/>
          <w:numId w:val="4"/>
        </w:numPr>
        <w:spacing w:before="280"/>
        <w:jc w:val="both"/>
      </w:pPr>
      <w:r>
        <w:rPr>
          <w:b/>
          <w:bCs/>
        </w:rPr>
        <w:t>DESCRIPCIÓN DEL SERVICIO:</w:t>
      </w:r>
    </w:p>
    <w:p w14:paraId="1C9ACAFD" w14:textId="77777777" w:rsidR="00EE4EC7" w:rsidRDefault="00BD43CD" w:rsidP="0022786A">
      <w:pPr>
        <w:pStyle w:val="Prrafodelista"/>
        <w:numPr>
          <w:ilvl w:val="0"/>
          <w:numId w:val="2"/>
        </w:numPr>
        <w:ind w:left="1276"/>
        <w:jc w:val="both"/>
      </w:pPr>
      <w:r>
        <w:t>Desarrollo e implementación del módulo de Gestión de Eventos en el SGI.</w:t>
      </w:r>
    </w:p>
    <w:p w14:paraId="1C9ACAFE" w14:textId="77777777" w:rsidR="00EE4EC7" w:rsidRDefault="00BD43CD" w:rsidP="0022786A">
      <w:pPr>
        <w:pStyle w:val="Prrafodelista"/>
        <w:numPr>
          <w:ilvl w:val="0"/>
          <w:numId w:val="2"/>
        </w:numPr>
        <w:ind w:left="1276"/>
        <w:jc w:val="both"/>
      </w:pPr>
      <w:r>
        <w:t>Integración con servicios externos (RENIEC) para verificación de identidad.</w:t>
      </w:r>
    </w:p>
    <w:p w14:paraId="1C9ACAFF" w14:textId="77777777" w:rsidR="00EE4EC7" w:rsidRDefault="00BD43CD" w:rsidP="0022786A">
      <w:pPr>
        <w:pStyle w:val="Prrafodelista"/>
        <w:numPr>
          <w:ilvl w:val="0"/>
          <w:numId w:val="2"/>
        </w:numPr>
        <w:ind w:left="1276"/>
        <w:jc w:val="both"/>
      </w:pPr>
      <w:r>
        <w:t>Implementación de sistema de control de asistencia con soporte para escaneo de documentos.</w:t>
      </w:r>
    </w:p>
    <w:p w14:paraId="1C9ACB00" w14:textId="77777777" w:rsidR="00EE4EC7" w:rsidRDefault="00BD43CD" w:rsidP="0022786A">
      <w:pPr>
        <w:pStyle w:val="Prrafodelista"/>
        <w:numPr>
          <w:ilvl w:val="0"/>
          <w:numId w:val="2"/>
        </w:numPr>
        <w:ind w:left="1276"/>
        <w:jc w:val="both"/>
      </w:pPr>
      <w:r>
        <w:t>Desarrollo de reportes institucionales exportables en formato PDF y Excel.</w:t>
      </w:r>
    </w:p>
    <w:p w14:paraId="1C9ACB01" w14:textId="77777777" w:rsidR="00EE4EC7" w:rsidRDefault="00BD43CD" w:rsidP="0022786A">
      <w:pPr>
        <w:pStyle w:val="Prrafodelista"/>
        <w:numPr>
          <w:ilvl w:val="0"/>
          <w:numId w:val="2"/>
        </w:numPr>
        <w:ind w:left="1276"/>
        <w:jc w:val="both"/>
      </w:pPr>
      <w:r>
        <w:t>Documentación técnica de los componentes desarrollados.</w:t>
      </w:r>
    </w:p>
    <w:p w14:paraId="1C9ACB02" w14:textId="4D053606" w:rsidR="00EE4EC7" w:rsidRPr="007A68C3" w:rsidRDefault="00BD43CD" w:rsidP="0022786A">
      <w:pPr>
        <w:pStyle w:val="Prrafodelista"/>
        <w:numPr>
          <w:ilvl w:val="0"/>
          <w:numId w:val="4"/>
        </w:numPr>
        <w:spacing w:before="280"/>
        <w:jc w:val="both"/>
        <w:rPr>
          <w:b/>
          <w:bCs/>
        </w:rPr>
      </w:pPr>
      <w:r>
        <w:rPr>
          <w:b/>
          <w:bCs/>
        </w:rPr>
        <w:t>ALCANCE</w:t>
      </w:r>
    </w:p>
    <w:p w14:paraId="1C9ACB03" w14:textId="77777777" w:rsidR="00EE4EC7" w:rsidRDefault="00BD43CD" w:rsidP="0022786A">
      <w:pPr>
        <w:pStyle w:val="Prrafodelista"/>
        <w:numPr>
          <w:ilvl w:val="0"/>
          <w:numId w:val="2"/>
        </w:numPr>
        <w:ind w:left="1276"/>
        <w:jc w:val="both"/>
      </w:pPr>
      <w:r>
        <w:t>Módulo de eventos con gestión de sesiones, ponentes e inscripciones.</w:t>
      </w:r>
    </w:p>
    <w:p w14:paraId="1C9ACB04" w14:textId="77777777" w:rsidR="00EE4EC7" w:rsidRDefault="00BD43CD" w:rsidP="0022786A">
      <w:pPr>
        <w:pStyle w:val="Prrafodelista"/>
        <w:numPr>
          <w:ilvl w:val="0"/>
          <w:numId w:val="2"/>
        </w:numPr>
        <w:ind w:left="1276"/>
        <w:jc w:val="both"/>
      </w:pPr>
      <w:r>
        <w:t>Panel de control de asistencia por sesión.</w:t>
      </w:r>
    </w:p>
    <w:p w14:paraId="1C9ACB05" w14:textId="665D3C37" w:rsidR="00EE4EC7" w:rsidRDefault="00BD43CD" w:rsidP="0022786A">
      <w:pPr>
        <w:pStyle w:val="Prrafodelista"/>
        <w:numPr>
          <w:ilvl w:val="0"/>
          <w:numId w:val="2"/>
        </w:numPr>
        <w:ind w:left="1276"/>
        <w:jc w:val="both"/>
      </w:pPr>
      <w:r>
        <w:t>Sistema de informes y reportes</w:t>
      </w:r>
      <w:r w:rsidR="004B2C35">
        <w:t xml:space="preserve"> por </w:t>
      </w:r>
      <w:r w:rsidR="004F4FE5">
        <w:t>evento o sesión</w:t>
      </w:r>
      <w:r>
        <w:t>.</w:t>
      </w:r>
    </w:p>
    <w:p w14:paraId="1C9ACB06" w14:textId="35DE4251" w:rsidR="00EE4EC7" w:rsidRDefault="00BD43CD" w:rsidP="0022786A">
      <w:pPr>
        <w:pStyle w:val="Prrafodelista"/>
        <w:numPr>
          <w:ilvl w:val="0"/>
          <w:numId w:val="2"/>
        </w:numPr>
        <w:ind w:left="1276"/>
        <w:jc w:val="both"/>
      </w:pPr>
      <w:r>
        <w:t xml:space="preserve">Documentación </w:t>
      </w:r>
      <w:r w:rsidR="004F4FE5">
        <w:t>a nivel administrador del sistema y</w:t>
      </w:r>
      <w:r>
        <w:t xml:space="preserve"> código fuente.</w:t>
      </w:r>
    </w:p>
    <w:p w14:paraId="1C9ACB07" w14:textId="08B9B2BB" w:rsidR="00EE4EC7" w:rsidRDefault="00BD43CD" w:rsidP="0022786A">
      <w:pPr>
        <w:pStyle w:val="Prrafodelista"/>
        <w:numPr>
          <w:ilvl w:val="0"/>
          <w:numId w:val="4"/>
        </w:numPr>
        <w:spacing w:before="280"/>
        <w:jc w:val="both"/>
      </w:pPr>
      <w:r w:rsidRPr="007A68C3">
        <w:rPr>
          <w:b/>
          <w:bCs/>
        </w:rPr>
        <w:t>LUGAR DE PRESTACIÓN DEL SERVICIO</w:t>
      </w:r>
    </w:p>
    <w:p w14:paraId="1C9ACB08" w14:textId="77777777" w:rsidR="00EE4EC7" w:rsidRDefault="00BD43CD" w:rsidP="0022786A">
      <w:pPr>
        <w:ind w:left="708"/>
        <w:jc w:val="both"/>
      </w:pPr>
      <w:r>
        <w:t>Se prestará el servicio dentro de la Unidad de Soporte Científico del Instituto de Investigación de la Universidad Nacional Agraria de la Selva, ubicado en Carretera Central km. 1.21. Tingo María – Perú.</w:t>
      </w:r>
    </w:p>
    <w:p w14:paraId="1C9ACB09" w14:textId="4F203AFD" w:rsidR="00EE4EC7" w:rsidRDefault="00BD43CD" w:rsidP="0022786A">
      <w:pPr>
        <w:pStyle w:val="Prrafodelista"/>
        <w:numPr>
          <w:ilvl w:val="0"/>
          <w:numId w:val="4"/>
        </w:numPr>
        <w:spacing w:before="280"/>
        <w:jc w:val="both"/>
      </w:pPr>
      <w:r w:rsidRPr="007A68C3">
        <w:rPr>
          <w:b/>
          <w:bCs/>
        </w:rPr>
        <w:t>OBJETIVO</w:t>
      </w:r>
    </w:p>
    <w:p w14:paraId="73EE9DD7" w14:textId="5B4616A5" w:rsidR="00FD5AF6" w:rsidRDefault="00BD43CD" w:rsidP="0022786A">
      <w:pPr>
        <w:ind w:left="708"/>
        <w:jc w:val="both"/>
      </w:pPr>
      <w:r>
        <w:t xml:space="preserve">Contratación de </w:t>
      </w:r>
      <w:r w:rsidR="00FD5AF6">
        <w:t>Se</w:t>
      </w:r>
      <w:r w:rsidR="00FD5AF6" w:rsidRPr="00C92526">
        <w:t>rvicio de Desarrollo y Documentación de Aplicativo Web</w:t>
      </w:r>
      <w:r w:rsidR="00FD5AF6">
        <w:t xml:space="preserve"> correspondiente al módulo de Gestión de Eventos del SGI, para la planificación, ejecución y control de eventos académicos y científicos del Instituto de Investigación, incluyendo la gestión de ponentes, inscripciones, control de asistencia y generación de informes institucionales.</w:t>
      </w:r>
    </w:p>
    <w:p w14:paraId="1C9ACB0B" w14:textId="680070A7" w:rsidR="00EE4EC7" w:rsidRDefault="00BD43CD" w:rsidP="00FD5AF6">
      <w:pPr>
        <w:pStyle w:val="Prrafodelista"/>
        <w:numPr>
          <w:ilvl w:val="0"/>
          <w:numId w:val="4"/>
        </w:numPr>
        <w:spacing w:before="280"/>
      </w:pPr>
      <w:r w:rsidRPr="007A68C3">
        <w:rPr>
          <w:b/>
          <w:bCs/>
        </w:rPr>
        <w:t>FUNCIONES ESPECIFICAS</w:t>
      </w:r>
    </w:p>
    <w:p w14:paraId="1C9ACB0C" w14:textId="77777777" w:rsidR="00EE4EC7" w:rsidRDefault="00BD43CD" w:rsidP="00683276">
      <w:pPr>
        <w:ind w:left="708"/>
        <w:jc w:val="both"/>
      </w:pPr>
      <w:r>
        <w:t>Las actividades que el personal contratado deberá ejecutar son las siguientes:</w:t>
      </w:r>
    </w:p>
    <w:p w14:paraId="1C9ACB0D" w14:textId="77777777" w:rsidR="00EE4EC7" w:rsidRDefault="00BD43CD" w:rsidP="00F5405F">
      <w:pPr>
        <w:pStyle w:val="Prrafodelista"/>
        <w:numPr>
          <w:ilvl w:val="0"/>
          <w:numId w:val="2"/>
        </w:numPr>
        <w:ind w:left="1276"/>
        <w:jc w:val="both"/>
      </w:pPr>
      <w:r>
        <w:t>Desarrollo del módulo de eventos con operaciones CRUD y gestión de sesiones.</w:t>
      </w:r>
    </w:p>
    <w:p w14:paraId="1C9ACB0E" w14:textId="28C83341" w:rsidR="00EE4EC7" w:rsidRDefault="00BD43CD" w:rsidP="00F5405F">
      <w:pPr>
        <w:pStyle w:val="Prrafodelista"/>
        <w:numPr>
          <w:ilvl w:val="0"/>
          <w:numId w:val="2"/>
        </w:numPr>
        <w:ind w:left="1276"/>
        <w:jc w:val="both"/>
      </w:pPr>
      <w:r>
        <w:t>Implementación de gestión de</w:t>
      </w:r>
      <w:r w:rsidR="00563952">
        <w:t xml:space="preserve"> asistentes/</w:t>
      </w:r>
      <w:r>
        <w:t>ponentes con integración</w:t>
      </w:r>
      <w:r w:rsidR="004B29CF">
        <w:t xml:space="preserve"> de</w:t>
      </w:r>
      <w:r>
        <w:t xml:space="preserve"> RENIEC.</w:t>
      </w:r>
    </w:p>
    <w:p w14:paraId="1C9ACB10" w14:textId="77777777" w:rsidR="00EE4EC7" w:rsidRDefault="00BD43CD" w:rsidP="00F5405F">
      <w:pPr>
        <w:pStyle w:val="Prrafodelista"/>
        <w:numPr>
          <w:ilvl w:val="0"/>
          <w:numId w:val="2"/>
        </w:numPr>
        <w:ind w:left="1276"/>
        <w:jc w:val="both"/>
      </w:pPr>
      <w:r>
        <w:t>Implementación del panel de control de asistencia con escaneo de documentos.</w:t>
      </w:r>
    </w:p>
    <w:p w14:paraId="1C9ACB11" w14:textId="3D2B65AD" w:rsidR="00EE4EC7" w:rsidRDefault="002F02F3" w:rsidP="00F5405F">
      <w:pPr>
        <w:pStyle w:val="Prrafodelista"/>
        <w:numPr>
          <w:ilvl w:val="0"/>
          <w:numId w:val="2"/>
        </w:numPr>
        <w:ind w:left="1276"/>
        <w:jc w:val="both"/>
      </w:pPr>
      <w:r>
        <w:t>Implementación de reportes</w:t>
      </w:r>
      <w:r w:rsidR="00BD43CD">
        <w:t xml:space="preserve"> </w:t>
      </w:r>
      <w:r w:rsidR="0043131A">
        <w:t>en formatos</w:t>
      </w:r>
      <w:r w:rsidR="00BD43CD">
        <w:t xml:space="preserve"> PDF y Excel.</w:t>
      </w:r>
    </w:p>
    <w:p w14:paraId="1C9ACB12" w14:textId="77777777" w:rsidR="00EE4EC7" w:rsidRDefault="00BD43CD" w:rsidP="00F5405F">
      <w:pPr>
        <w:pStyle w:val="Prrafodelista"/>
        <w:numPr>
          <w:ilvl w:val="0"/>
          <w:numId w:val="2"/>
        </w:numPr>
        <w:ind w:left="1276"/>
        <w:jc w:val="both"/>
      </w:pPr>
      <w:r>
        <w:t>Entrega de documentación técnica del módulo implementado.</w:t>
      </w:r>
    </w:p>
    <w:p w14:paraId="1C9ACB13" w14:textId="43C44FB3" w:rsidR="00EE4EC7" w:rsidRDefault="00BD43CD" w:rsidP="00683276">
      <w:pPr>
        <w:pStyle w:val="Prrafodelista"/>
        <w:numPr>
          <w:ilvl w:val="0"/>
          <w:numId w:val="4"/>
        </w:numPr>
        <w:spacing w:before="280"/>
      </w:pPr>
      <w:r w:rsidRPr="007A68C3">
        <w:rPr>
          <w:b/>
          <w:bCs/>
        </w:rPr>
        <w:t>REQUERIMIENTO DEL PERSONAL</w:t>
      </w:r>
    </w:p>
    <w:p w14:paraId="1C9ACB14" w14:textId="77777777" w:rsidR="00EE4EC7" w:rsidRDefault="00BD43CD" w:rsidP="00683276">
      <w:pPr>
        <w:pStyle w:val="Prrafodelista"/>
        <w:numPr>
          <w:ilvl w:val="0"/>
          <w:numId w:val="2"/>
        </w:numPr>
        <w:jc w:val="both"/>
      </w:pPr>
      <w:r>
        <w:t>Persona natural o jurídica.</w:t>
      </w:r>
    </w:p>
    <w:p w14:paraId="1C9ACB15" w14:textId="77777777" w:rsidR="00EE4EC7" w:rsidRDefault="00BD43CD" w:rsidP="00683276">
      <w:pPr>
        <w:pStyle w:val="Prrafodelista"/>
        <w:numPr>
          <w:ilvl w:val="0"/>
          <w:numId w:val="2"/>
        </w:numPr>
        <w:jc w:val="both"/>
      </w:pPr>
      <w:r>
        <w:t xml:space="preserve">Requisito técnico en Desarrollo de Software: Preferencia </w:t>
      </w:r>
      <w:proofErr w:type="spellStart"/>
      <w:r>
        <w:t>Frameworks</w:t>
      </w:r>
      <w:proofErr w:type="spellEnd"/>
      <w:r>
        <w:t xml:space="preserve"> modernos (Laravel, Vue.js u otros equivalentes).</w:t>
      </w:r>
    </w:p>
    <w:p w14:paraId="1C9ACB16" w14:textId="77777777" w:rsidR="00EE4EC7" w:rsidRDefault="00BD43CD" w:rsidP="00683276">
      <w:pPr>
        <w:pStyle w:val="Prrafodelista"/>
        <w:numPr>
          <w:ilvl w:val="0"/>
          <w:numId w:val="2"/>
        </w:numPr>
        <w:jc w:val="both"/>
      </w:pPr>
      <w:r>
        <w:t>Experiencia en desarrollo (programación) web y/o sistemas de información.</w:t>
      </w:r>
    </w:p>
    <w:p w14:paraId="1C9ACB17" w14:textId="77777777" w:rsidR="00EE4EC7" w:rsidRDefault="00BD43CD" w:rsidP="00683276">
      <w:pPr>
        <w:pStyle w:val="Prrafodelista"/>
        <w:numPr>
          <w:ilvl w:val="0"/>
          <w:numId w:val="2"/>
        </w:numPr>
        <w:jc w:val="both"/>
      </w:pPr>
      <w:r>
        <w:t>Contar con Registro Nacional de Proveedores (RNP).</w:t>
      </w:r>
    </w:p>
    <w:p w14:paraId="1C9ACB18" w14:textId="77777777" w:rsidR="00EE4EC7" w:rsidRDefault="00BD43CD" w:rsidP="00683276">
      <w:pPr>
        <w:pStyle w:val="Prrafodelista"/>
        <w:numPr>
          <w:ilvl w:val="0"/>
          <w:numId w:val="2"/>
        </w:numPr>
        <w:jc w:val="both"/>
      </w:pPr>
      <w:r>
        <w:lastRenderedPageBreak/>
        <w:t>Contar con Código de Cuenta Interbancaria (CCI) – cuenta asociada al RUC.</w:t>
      </w:r>
    </w:p>
    <w:p w14:paraId="1C9ACB19" w14:textId="77777777" w:rsidR="00EE4EC7" w:rsidRDefault="00BD43CD" w:rsidP="00683276">
      <w:pPr>
        <w:pStyle w:val="Prrafodelista"/>
        <w:numPr>
          <w:ilvl w:val="0"/>
          <w:numId w:val="2"/>
        </w:numPr>
        <w:jc w:val="both"/>
      </w:pPr>
      <w:r>
        <w:t>Contar con Registro Único de Contribuyentes (RUC) – Activo/habido.</w:t>
      </w:r>
    </w:p>
    <w:p w14:paraId="1C9ACB1A" w14:textId="1027E41E" w:rsidR="00EE4EC7" w:rsidRDefault="00BD43CD" w:rsidP="00683276">
      <w:pPr>
        <w:pStyle w:val="Prrafodelista"/>
        <w:numPr>
          <w:ilvl w:val="0"/>
          <w:numId w:val="4"/>
        </w:numPr>
        <w:spacing w:before="280"/>
      </w:pPr>
      <w:r w:rsidRPr="007A68C3">
        <w:rPr>
          <w:b/>
          <w:bCs/>
        </w:rPr>
        <w:t>PLAZO DE ENTREGA</w:t>
      </w:r>
    </w:p>
    <w:p w14:paraId="1C9ACB1B" w14:textId="13423B45" w:rsidR="00EE4EC7" w:rsidRDefault="00BD43CD" w:rsidP="00683276">
      <w:pPr>
        <w:ind w:left="708"/>
        <w:jc w:val="both"/>
      </w:pPr>
      <w:r>
        <w:t xml:space="preserve">La entrega deberá realizarse dentro de los </w:t>
      </w:r>
      <w:r w:rsidR="00683276">
        <w:t>diez</w:t>
      </w:r>
      <w:r>
        <w:t xml:space="preserve"> (</w:t>
      </w:r>
      <w:r w:rsidR="00683276">
        <w:t>1</w:t>
      </w:r>
      <w:r w:rsidR="00293425">
        <w:t>5</w:t>
      </w:r>
      <w:r>
        <w:t>) días calendario, contados a partir del día siguiente de la notificación de la Orden de Servicio.</w:t>
      </w:r>
    </w:p>
    <w:p w14:paraId="1C9ACB1C" w14:textId="77777777" w:rsidR="00EE4EC7" w:rsidRDefault="00BD43CD" w:rsidP="00683276">
      <w:pPr>
        <w:ind w:left="708"/>
        <w:jc w:val="both"/>
      </w:pPr>
      <w:r>
        <w:t>Se debe entregar un informe que incluya un resumen ejecutivo, descripción de los módulos implementados, manual de uso y conclusiones.</w:t>
      </w:r>
    </w:p>
    <w:p w14:paraId="1C9ACB1D" w14:textId="6987E468" w:rsidR="00EE4EC7" w:rsidRDefault="00BD43CD" w:rsidP="00683276">
      <w:pPr>
        <w:pStyle w:val="Prrafodelista"/>
        <w:numPr>
          <w:ilvl w:val="0"/>
          <w:numId w:val="4"/>
        </w:numPr>
        <w:spacing w:before="280"/>
      </w:pPr>
      <w:r w:rsidRPr="007A68C3">
        <w:rPr>
          <w:b/>
          <w:bCs/>
        </w:rPr>
        <w:t>FORMA DE PAGO</w:t>
      </w:r>
    </w:p>
    <w:p w14:paraId="1C9ACB1E" w14:textId="3B330050" w:rsidR="00EE4EC7" w:rsidRDefault="00BD43CD" w:rsidP="00683276">
      <w:pPr>
        <w:ind w:left="708"/>
        <w:jc w:val="both"/>
      </w:pPr>
      <w:r>
        <w:t xml:space="preserve">El costo por la prestación del servicio será de Mil </w:t>
      </w:r>
      <w:r w:rsidR="00676D48">
        <w:t xml:space="preserve">con </w:t>
      </w:r>
      <w:r>
        <w:t xml:space="preserve">00/100 soles (S/ </w:t>
      </w:r>
      <w:r w:rsidR="00676D48">
        <w:t>1</w:t>
      </w:r>
      <w:r>
        <w:t>,</w:t>
      </w:r>
      <w:r w:rsidR="00A10ECC">
        <w:t>0</w:t>
      </w:r>
      <w:r>
        <w:t>00.00). El pago se realizará en una sola armada, al finalizar y entregar el servicio con la presentación del comprobante de pago.</w:t>
      </w:r>
    </w:p>
    <w:p w14:paraId="1C9ACB1F" w14:textId="6FB5C36F" w:rsidR="00EE4EC7" w:rsidRDefault="00BD43CD" w:rsidP="00683276">
      <w:pPr>
        <w:pStyle w:val="Prrafodelista"/>
        <w:numPr>
          <w:ilvl w:val="0"/>
          <w:numId w:val="4"/>
        </w:numPr>
        <w:spacing w:before="280"/>
      </w:pPr>
      <w:r w:rsidRPr="007A68C3">
        <w:rPr>
          <w:b/>
          <w:bCs/>
        </w:rPr>
        <w:t>CONFIDENCIALIDAD</w:t>
      </w:r>
    </w:p>
    <w:p w14:paraId="1C9ACB20" w14:textId="77777777" w:rsidR="00EE4EC7" w:rsidRDefault="00BD43CD" w:rsidP="00683276">
      <w:pPr>
        <w:ind w:left="708"/>
        <w:jc w:val="both"/>
      </w:pPr>
      <w:r>
        <w:t>El contratista deberá guardar la confidencialidad y reserva absoluta en el manejo de información y documentación al cual se tenga acceso, relacionado con la prestación, estando prohibido revelar dicha información a terceros. El contratista deberá dar cumplimiento a todas las políticas y estándares definidos por la UNIVERSIDAD NACIONAL AGRARIA DE LA SELVA en materia de seguridad de la información. Dicha obligación comprende la información que se entrega, como también la que se genera durante la realización de las actividades y la formación productiva una vez que se haya concluido el servicio.</w:t>
      </w:r>
    </w:p>
    <w:p w14:paraId="1C9ACB21" w14:textId="6165DBBE" w:rsidR="00EE4EC7" w:rsidRDefault="00BD43CD" w:rsidP="00683276">
      <w:pPr>
        <w:pStyle w:val="Prrafodelista"/>
        <w:numPr>
          <w:ilvl w:val="0"/>
          <w:numId w:val="4"/>
        </w:numPr>
        <w:spacing w:before="280"/>
      </w:pPr>
      <w:r w:rsidRPr="007A68C3">
        <w:rPr>
          <w:b/>
          <w:bCs/>
        </w:rPr>
        <w:t>CONFORMIDAD DEL SERVICIO</w:t>
      </w:r>
    </w:p>
    <w:p w14:paraId="1C9ACB22" w14:textId="77777777" w:rsidR="00EE4EC7" w:rsidRDefault="00BD43CD" w:rsidP="00683276">
      <w:pPr>
        <w:ind w:left="708"/>
        <w:jc w:val="both"/>
      </w:pPr>
      <w:r>
        <w:t>La Conformidad del servicio será otorgada por el jefe de la Unidad de Soporte Científico, dentro de un plazo que no excederá de cinco (05) días hábiles.</w:t>
      </w:r>
    </w:p>
    <w:p w14:paraId="1C9ACB23" w14:textId="0F6B6E20" w:rsidR="00EE4EC7" w:rsidRDefault="00BD43CD" w:rsidP="00683276">
      <w:pPr>
        <w:pStyle w:val="Prrafodelista"/>
        <w:numPr>
          <w:ilvl w:val="0"/>
          <w:numId w:val="4"/>
        </w:numPr>
        <w:spacing w:before="280"/>
      </w:pPr>
      <w:r w:rsidRPr="007A68C3">
        <w:rPr>
          <w:b/>
          <w:bCs/>
        </w:rPr>
        <w:t>PENALIDADES</w:t>
      </w:r>
    </w:p>
    <w:p w14:paraId="1C9ACB24" w14:textId="77777777" w:rsidR="00EE4EC7" w:rsidRDefault="00BD43CD" w:rsidP="00683276">
      <w:pPr>
        <w:ind w:left="708"/>
        <w:jc w:val="both"/>
      </w:pPr>
      <w:r>
        <w:t>Si EL CONTRATISTA incurre en retraso injustificado en la ejecución de las Prestaciones objeto del contrato, LA ENTIDAD le aplica automáticamente una Penalidad por mora por cada día de atraso, de acuerdo con la siguiente fórmula:</w:t>
      </w:r>
    </w:p>
    <w:p w14:paraId="1C9ACB25" w14:textId="77777777" w:rsidR="00EE4EC7" w:rsidRDefault="00BD43CD" w:rsidP="00683276">
      <w:pPr>
        <w:spacing w:before="80"/>
        <w:ind w:left="1428"/>
      </w:pPr>
      <w:r>
        <w:rPr>
          <w:i/>
          <w:iCs/>
        </w:rPr>
        <w:t>Penalidad Diaria = 0.10 x monto vigente</w:t>
      </w:r>
    </w:p>
    <w:p w14:paraId="1C9ACB26" w14:textId="77777777" w:rsidR="00EE4EC7" w:rsidRDefault="00BD43CD" w:rsidP="00683276">
      <w:pPr>
        <w:spacing w:before="80"/>
        <w:ind w:left="1428"/>
      </w:pPr>
      <w:r>
        <w:rPr>
          <w:i/>
          <w:iCs/>
        </w:rPr>
        <w:t>F x plazo vigente en días</w:t>
      </w:r>
    </w:p>
    <w:p w14:paraId="1C9ACB27" w14:textId="77777777" w:rsidR="00EE4EC7" w:rsidRDefault="00BD43CD" w:rsidP="00683276">
      <w:pPr>
        <w:ind w:left="708"/>
        <w:jc w:val="both"/>
      </w:pPr>
      <w:r>
        <w:t>Donde F tiene los siguientes valores:</w:t>
      </w:r>
    </w:p>
    <w:p w14:paraId="1C9ACB28" w14:textId="77777777" w:rsidR="00EE4EC7" w:rsidRDefault="00BD43CD" w:rsidP="00683276">
      <w:pPr>
        <w:ind w:left="708"/>
        <w:jc w:val="both"/>
      </w:pPr>
      <w:r>
        <w:t>Para plazos menores o iguales a 60 días: F = 0.40. Plazos mayores a 60 días: F = 0.25.</w:t>
      </w:r>
    </w:p>
    <w:p w14:paraId="1C9ACB29" w14:textId="77777777" w:rsidR="00EE4EC7" w:rsidRDefault="00BD43CD" w:rsidP="00683276">
      <w:pPr>
        <w:ind w:left="708"/>
        <w:jc w:val="both"/>
      </w:pPr>
      <w:r>
        <w:t>Tanto el monto como el plazo se refieren, según corresponda, a la ejecución total de la Orden de servicio o la obligación parcial, de ser el caso, que fuera materia de retraso.</w:t>
      </w:r>
    </w:p>
    <w:p w14:paraId="1C9ACB2A" w14:textId="0D13A96F" w:rsidR="00EE4EC7" w:rsidRDefault="00BD43CD" w:rsidP="00896C37">
      <w:pPr>
        <w:pStyle w:val="Prrafodelista"/>
        <w:numPr>
          <w:ilvl w:val="0"/>
          <w:numId w:val="4"/>
        </w:numPr>
        <w:spacing w:before="280"/>
      </w:pPr>
      <w:r w:rsidRPr="00896C37">
        <w:rPr>
          <w:b/>
          <w:bCs/>
        </w:rPr>
        <w:t>GARANTÍAS</w:t>
      </w:r>
    </w:p>
    <w:p w14:paraId="1C9ACB2B" w14:textId="77777777" w:rsidR="00EE4EC7" w:rsidRDefault="00BD43CD" w:rsidP="00896C37">
      <w:pPr>
        <w:ind w:left="708"/>
        <w:jc w:val="both"/>
      </w:pPr>
      <w:r>
        <w:t>No corresponde de conformidad a lo indicado en el literal a) del artículo 139 del Reglamento de la Ley general de Contrataciones Públicas, aprobado mediante Decreto Supremo Nº 009-2025-EF, donde indica:</w:t>
      </w:r>
    </w:p>
    <w:p w14:paraId="1C9ACB2C" w14:textId="77777777" w:rsidR="00EE4EC7" w:rsidRDefault="00BD43CD" w:rsidP="00896C37">
      <w:pPr>
        <w:ind w:left="708"/>
        <w:jc w:val="both"/>
      </w:pPr>
      <w:r>
        <w:rPr>
          <w:i/>
          <w:iCs/>
        </w:rPr>
        <w:t>Artículo 139. Excepciones a la garantía de fiel cumplimiento en bienes y servicios</w:t>
      </w:r>
    </w:p>
    <w:p w14:paraId="1C9ACB2D" w14:textId="77777777" w:rsidR="00EE4EC7" w:rsidRDefault="00BD43CD" w:rsidP="00896C37">
      <w:pPr>
        <w:ind w:left="708"/>
        <w:jc w:val="both"/>
      </w:pPr>
      <w:r>
        <w:t>No se otorga garantía de fiel cumplimiento del contrato ni garantía de fiel cumplimiento por prestaciones accesorias en los siguientes casos:</w:t>
      </w:r>
    </w:p>
    <w:p w14:paraId="1C9ACB2E" w14:textId="77777777" w:rsidR="00EE4EC7" w:rsidRDefault="00BD43CD" w:rsidP="00896C37">
      <w:pPr>
        <w:ind w:left="708"/>
        <w:jc w:val="both"/>
      </w:pPr>
      <w:r>
        <w:t>a) En los contratos de bienes y servicios cuyos montos sean menores o iguales a 50 UIT. Esta excepción no aplica cuando la sumatoria de los contratos derivados de procedimientos de selección por relación de ítems, adjudicados a un mismo postor, superen el monto señalado.</w:t>
      </w:r>
    </w:p>
    <w:p w14:paraId="1C9ACB2F" w14:textId="04FDB292" w:rsidR="00EE4EC7" w:rsidRDefault="00BD43CD" w:rsidP="00896C37">
      <w:pPr>
        <w:pStyle w:val="Prrafodelista"/>
        <w:numPr>
          <w:ilvl w:val="0"/>
          <w:numId w:val="4"/>
        </w:numPr>
        <w:spacing w:before="280"/>
      </w:pPr>
      <w:r w:rsidRPr="00896C37">
        <w:rPr>
          <w:b/>
          <w:bCs/>
        </w:rPr>
        <w:lastRenderedPageBreak/>
        <w:t>CLÁUSULA ANTICORRUPCIÓN Y ANTISOBORNO</w:t>
      </w:r>
    </w:p>
    <w:p w14:paraId="1C9ACB30" w14:textId="77777777" w:rsidR="00EE4EC7" w:rsidRDefault="00BD43CD" w:rsidP="00896C37">
      <w:pPr>
        <w:ind w:left="708"/>
        <w:jc w:val="both"/>
      </w:pPr>
      <w: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C9ACB31" w14:textId="77777777" w:rsidR="00EE4EC7" w:rsidRDefault="00BD43CD" w:rsidP="00896C37">
      <w:pPr>
        <w:ind w:left="708"/>
        <w:jc w:val="both"/>
      </w:pPr>
      <w: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1C9ACB32" w14:textId="77777777" w:rsidR="00EE4EC7" w:rsidRDefault="00BD43CD" w:rsidP="00896C37">
      <w:pPr>
        <w:ind w:left="708"/>
        <w:jc w:val="both"/>
      </w:pPr>
      <w: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 y/o cualquier servidor de la entidad contratante, con la finalidad de obtener alguna ventaja indebida o beneficio ilícito.</w:t>
      </w:r>
    </w:p>
    <w:p w14:paraId="1C9ACB33" w14:textId="77777777" w:rsidR="00EE4EC7" w:rsidRDefault="00BD43CD" w:rsidP="00896C37">
      <w:pPr>
        <w:ind w:left="708"/>
        <w:jc w:val="both"/>
      </w:pPr>
      <w:r>
        <w:t>Finalmente, el incumplimiento de las obligaciones establecidas en esta cláusula, durante la ejecución contractual, otorga a LA ENTIDAD CONTRATANTE el derecho de resolver total o parcialmente el contrato.</w:t>
      </w:r>
    </w:p>
    <w:p w14:paraId="1C9ACB34" w14:textId="3D0678F8" w:rsidR="00EE4EC7" w:rsidRDefault="00BD43CD" w:rsidP="00896C37">
      <w:pPr>
        <w:pStyle w:val="Prrafodelista"/>
        <w:numPr>
          <w:ilvl w:val="0"/>
          <w:numId w:val="4"/>
        </w:numPr>
        <w:spacing w:before="280"/>
      </w:pPr>
      <w:r w:rsidRPr="00896C37">
        <w:rPr>
          <w:b/>
          <w:bCs/>
        </w:rPr>
        <w:t>SOLUCIÓN DE CONTROVERSIAS</w:t>
      </w:r>
    </w:p>
    <w:p w14:paraId="1C9ACB35" w14:textId="77777777" w:rsidR="00EE4EC7" w:rsidRDefault="00BD43CD" w:rsidP="00896C37">
      <w:pPr>
        <w:ind w:left="720"/>
        <w:jc w:val="both"/>
      </w:pPr>
      <w:r>
        <w:t>Las controversias que surjan entre las partes durante la ejecución del contrato se resuelven mediante conciliación.</w:t>
      </w:r>
    </w:p>
    <w:p w14:paraId="1C9ACB36" w14:textId="77777777" w:rsidR="00EE4EC7" w:rsidRDefault="00BD43CD" w:rsidP="00896C37">
      <w:pPr>
        <w:ind w:left="720"/>
        <w:jc w:val="both"/>
      </w:pPr>
      <w:r>
        <w:t>El Laudo arbitral emitido es inapelable, definitivo y obligatorio para las partes desde el momento de su notificación, según lo previsto en el numeral 84.9 del artículo 84 de la Ley General de Contrataciones Públicas.</w:t>
      </w:r>
    </w:p>
    <w:p w14:paraId="1C9ACB37" w14:textId="22EF1774" w:rsidR="00EE4EC7" w:rsidRDefault="00BD43CD" w:rsidP="00896C37">
      <w:pPr>
        <w:pStyle w:val="Prrafodelista"/>
        <w:numPr>
          <w:ilvl w:val="0"/>
          <w:numId w:val="4"/>
        </w:numPr>
        <w:spacing w:before="280"/>
      </w:pPr>
      <w:r w:rsidRPr="00896C37">
        <w:rPr>
          <w:b/>
          <w:bCs/>
        </w:rPr>
        <w:t>RESOLUCIÓN DE CONTRATO POR INCUMPLIMIENTO</w:t>
      </w:r>
    </w:p>
    <w:p w14:paraId="1C9ACB38" w14:textId="77777777" w:rsidR="00EE4EC7" w:rsidRDefault="00BD43CD" w:rsidP="00896C37">
      <w:pPr>
        <w:ind w:left="708"/>
        <w:jc w:val="both"/>
      </w:pPr>
      <w:r>
        <w:t xml:space="preserve">Cualquiera de las partes puede resolver el contrato, de conformidad con el numeral 68.1 del artículo 68 de la Ley </w:t>
      </w:r>
      <w:proofErr w:type="spellStart"/>
      <w:r>
        <w:t>N°</w:t>
      </w:r>
      <w:proofErr w:type="spellEnd"/>
      <w:r>
        <w:t xml:space="preserve"> 32069, Ley General de Contrataciones Públicas.</w:t>
      </w:r>
    </w:p>
    <w:p w14:paraId="1C9ACB39" w14:textId="77777777" w:rsidR="00EE4EC7" w:rsidRDefault="00BD43CD" w:rsidP="00896C37">
      <w:pPr>
        <w:ind w:left="708"/>
        <w:jc w:val="both"/>
      </w:pPr>
      <w:r>
        <w:t xml:space="preserve">De encontrarse en alguno de los supuestos de resolución del contrato, LAS PARTES proceden de acuerdo con lo establecido en el artículo 122 del Reglamento de la Ley </w:t>
      </w:r>
      <w:proofErr w:type="spellStart"/>
      <w:r>
        <w:t>N°</w:t>
      </w:r>
      <w:proofErr w:type="spellEnd"/>
      <w:r>
        <w:t xml:space="preserve"> 32069, Ley General de Contrataciones Públicas, aprobado por Decreto Supremo </w:t>
      </w:r>
      <w:proofErr w:type="spellStart"/>
      <w:r>
        <w:t>N°</w:t>
      </w:r>
      <w:proofErr w:type="spellEnd"/>
      <w:r>
        <w:t xml:space="preserve"> 009-2025-EF.</w:t>
      </w:r>
    </w:p>
    <w:p w14:paraId="1C9ACB3A" w14:textId="4AFEA984" w:rsidR="00EE4EC7" w:rsidRDefault="00BD43CD" w:rsidP="00896C37">
      <w:pPr>
        <w:pStyle w:val="Prrafodelista"/>
        <w:numPr>
          <w:ilvl w:val="0"/>
          <w:numId w:val="4"/>
        </w:numPr>
        <w:spacing w:before="280"/>
      </w:pPr>
      <w:r w:rsidRPr="00896C37">
        <w:rPr>
          <w:b/>
          <w:bCs/>
        </w:rPr>
        <w:t>GESTIÓN DE RIESGOS</w:t>
      </w:r>
    </w:p>
    <w:p w14:paraId="1C9ACB3B" w14:textId="77777777" w:rsidR="00EE4EC7" w:rsidRDefault="00BD43CD" w:rsidP="00896C37">
      <w:pPr>
        <w:ind w:left="708"/>
        <w:jc w:val="both"/>
      </w:pPr>
      <w:r>
        <w:t>Las partes realizan la gestión de riesgos, a fin de tomar decisiones informadas, aprovechando el impacto de riesgos positivos y disminuyendo la probabilidad de los riesgos negativos y su impacto durante la ejecución contractual, considerando la finalidad pública de la contratación.</w:t>
      </w:r>
    </w:p>
    <w:sectPr w:rsidR="00EE4EC7">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0596" w14:textId="77777777" w:rsidR="00E43DB5" w:rsidRDefault="00E43DB5">
      <w:r>
        <w:separator/>
      </w:r>
    </w:p>
  </w:endnote>
  <w:endnote w:type="continuationSeparator" w:id="0">
    <w:p w14:paraId="4AD1C14E" w14:textId="77777777" w:rsidR="00E43DB5" w:rsidRDefault="00E4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CB3C" w14:textId="63FBF2ED" w:rsidR="00EE4EC7" w:rsidRDefault="00BD43CD">
    <w:pPr>
      <w:jc w:val="center"/>
    </w:pPr>
    <w:r>
      <w:rPr>
        <w:sz w:val="20"/>
        <w:szCs w:val="20"/>
      </w:rPr>
      <w:fldChar w:fldCharType="begin"/>
    </w:r>
    <w:r>
      <w:rPr>
        <w:sz w:val="20"/>
        <w:szCs w:val="20"/>
      </w:rPr>
      <w:instrText>PAGE</w:instrText>
    </w:r>
    <w:r>
      <w:rPr>
        <w:sz w:val="20"/>
        <w:szCs w:val="20"/>
      </w:rPr>
      <w:fldChar w:fldCharType="separate"/>
    </w:r>
    <w:r w:rsidR="000352D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14A2" w14:textId="77777777" w:rsidR="00E43DB5" w:rsidRDefault="00E43DB5">
      <w:r>
        <w:separator/>
      </w:r>
    </w:p>
  </w:footnote>
  <w:footnote w:type="continuationSeparator" w:id="0">
    <w:p w14:paraId="6B276132" w14:textId="77777777" w:rsidR="00E43DB5" w:rsidRDefault="00E4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9272A"/>
    <w:multiLevelType w:val="hybridMultilevel"/>
    <w:tmpl w:val="3BDA87E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74E42814"/>
    <w:multiLevelType w:val="hybridMultilevel"/>
    <w:tmpl w:val="7D34A8AC"/>
    <w:lvl w:ilvl="0" w:tplc="66101422">
      <w:start w:val="1"/>
      <w:numFmt w:val="bullet"/>
      <w:lvlText w:val="•"/>
      <w:lvlJc w:val="left"/>
      <w:pPr>
        <w:ind w:left="1068" w:hanging="360"/>
      </w:pPr>
    </w:lvl>
    <w:lvl w:ilvl="1" w:tplc="CA70B4E0">
      <w:numFmt w:val="decimal"/>
      <w:lvlText w:val=""/>
      <w:lvlJc w:val="left"/>
    </w:lvl>
    <w:lvl w:ilvl="2" w:tplc="6428B4C2">
      <w:numFmt w:val="decimal"/>
      <w:lvlText w:val=""/>
      <w:lvlJc w:val="left"/>
    </w:lvl>
    <w:lvl w:ilvl="3" w:tplc="E7F68336">
      <w:numFmt w:val="decimal"/>
      <w:lvlText w:val=""/>
      <w:lvlJc w:val="left"/>
    </w:lvl>
    <w:lvl w:ilvl="4" w:tplc="4B3C9CC6">
      <w:numFmt w:val="decimal"/>
      <w:lvlText w:val=""/>
      <w:lvlJc w:val="left"/>
    </w:lvl>
    <w:lvl w:ilvl="5" w:tplc="C0AE6A3E">
      <w:numFmt w:val="decimal"/>
      <w:lvlText w:val=""/>
      <w:lvlJc w:val="left"/>
    </w:lvl>
    <w:lvl w:ilvl="6" w:tplc="53881DEE">
      <w:numFmt w:val="decimal"/>
      <w:lvlText w:val=""/>
      <w:lvlJc w:val="left"/>
    </w:lvl>
    <w:lvl w:ilvl="7" w:tplc="BAC81572">
      <w:numFmt w:val="decimal"/>
      <w:lvlText w:val=""/>
      <w:lvlJc w:val="left"/>
    </w:lvl>
    <w:lvl w:ilvl="8" w:tplc="3A089DE6">
      <w:numFmt w:val="decimal"/>
      <w:lvlText w:val=""/>
      <w:lvlJc w:val="left"/>
    </w:lvl>
  </w:abstractNum>
  <w:abstractNum w:abstractNumId="2" w15:restartNumberingAfterBreak="0">
    <w:nsid w:val="7968545E"/>
    <w:multiLevelType w:val="hybridMultilevel"/>
    <w:tmpl w:val="E8A240F6"/>
    <w:lvl w:ilvl="0" w:tplc="8878D8CA">
      <w:start w:val="1"/>
      <w:numFmt w:val="bullet"/>
      <w:lvlText w:val="●"/>
      <w:lvlJc w:val="left"/>
      <w:pPr>
        <w:ind w:left="720" w:hanging="360"/>
      </w:pPr>
    </w:lvl>
    <w:lvl w:ilvl="1" w:tplc="435EBA76">
      <w:start w:val="1"/>
      <w:numFmt w:val="bullet"/>
      <w:lvlText w:val="○"/>
      <w:lvlJc w:val="left"/>
      <w:pPr>
        <w:ind w:left="1440" w:hanging="360"/>
      </w:pPr>
    </w:lvl>
    <w:lvl w:ilvl="2" w:tplc="ED044A62">
      <w:start w:val="1"/>
      <w:numFmt w:val="bullet"/>
      <w:lvlText w:val="■"/>
      <w:lvlJc w:val="left"/>
      <w:pPr>
        <w:ind w:left="2160" w:hanging="360"/>
      </w:pPr>
    </w:lvl>
    <w:lvl w:ilvl="3" w:tplc="EDE40724">
      <w:start w:val="1"/>
      <w:numFmt w:val="bullet"/>
      <w:lvlText w:val="●"/>
      <w:lvlJc w:val="left"/>
      <w:pPr>
        <w:ind w:left="2880" w:hanging="360"/>
      </w:pPr>
    </w:lvl>
    <w:lvl w:ilvl="4" w:tplc="3AFA045E">
      <w:start w:val="1"/>
      <w:numFmt w:val="bullet"/>
      <w:lvlText w:val="○"/>
      <w:lvlJc w:val="left"/>
      <w:pPr>
        <w:ind w:left="3600" w:hanging="360"/>
      </w:pPr>
    </w:lvl>
    <w:lvl w:ilvl="5" w:tplc="E2DA4EB0">
      <w:start w:val="1"/>
      <w:numFmt w:val="bullet"/>
      <w:lvlText w:val="■"/>
      <w:lvlJc w:val="left"/>
      <w:pPr>
        <w:ind w:left="4320" w:hanging="360"/>
      </w:pPr>
    </w:lvl>
    <w:lvl w:ilvl="6" w:tplc="3CDE925E">
      <w:start w:val="1"/>
      <w:numFmt w:val="bullet"/>
      <w:lvlText w:val="●"/>
      <w:lvlJc w:val="left"/>
      <w:pPr>
        <w:ind w:left="5040" w:hanging="360"/>
      </w:pPr>
    </w:lvl>
    <w:lvl w:ilvl="7" w:tplc="90E064FC">
      <w:start w:val="1"/>
      <w:numFmt w:val="bullet"/>
      <w:lvlText w:val="●"/>
      <w:lvlJc w:val="left"/>
      <w:pPr>
        <w:ind w:left="5760" w:hanging="360"/>
      </w:pPr>
    </w:lvl>
    <w:lvl w:ilvl="8" w:tplc="8736AC98">
      <w:start w:val="1"/>
      <w:numFmt w:val="bullet"/>
      <w:lvlText w:val="●"/>
      <w:lvlJc w:val="left"/>
      <w:pPr>
        <w:ind w:left="6480" w:hanging="360"/>
      </w:pPr>
    </w:lvl>
  </w:abstractNum>
  <w:abstractNum w:abstractNumId="3" w15:restartNumberingAfterBreak="0">
    <w:nsid w:val="7B35741D"/>
    <w:multiLevelType w:val="hybridMultilevel"/>
    <w:tmpl w:val="635C4BCE"/>
    <w:lvl w:ilvl="0" w:tplc="EFF63328">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163163524">
    <w:abstractNumId w:val="2"/>
    <w:lvlOverride w:ilvl="0">
      <w:startOverride w:val="1"/>
    </w:lvlOverride>
  </w:num>
  <w:num w:numId="2" w16cid:durableId="564877032">
    <w:abstractNumId w:val="1"/>
    <w:lvlOverride w:ilvl="0">
      <w:startOverride w:val="1"/>
    </w:lvlOverride>
  </w:num>
  <w:num w:numId="3" w16cid:durableId="1294336178">
    <w:abstractNumId w:val="0"/>
  </w:num>
  <w:num w:numId="4" w16cid:durableId="2022856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C7"/>
    <w:rsid w:val="00004964"/>
    <w:rsid w:val="000352D1"/>
    <w:rsid w:val="001F7859"/>
    <w:rsid w:val="0022786A"/>
    <w:rsid w:val="00293425"/>
    <w:rsid w:val="002C3CD0"/>
    <w:rsid w:val="002F02F3"/>
    <w:rsid w:val="0043131A"/>
    <w:rsid w:val="0049062E"/>
    <w:rsid w:val="004B29CF"/>
    <w:rsid w:val="004B2C35"/>
    <w:rsid w:val="004B6378"/>
    <w:rsid w:val="004F4FE5"/>
    <w:rsid w:val="004F509F"/>
    <w:rsid w:val="00563952"/>
    <w:rsid w:val="00676D48"/>
    <w:rsid w:val="00683276"/>
    <w:rsid w:val="007A68C3"/>
    <w:rsid w:val="008641DC"/>
    <w:rsid w:val="00896C37"/>
    <w:rsid w:val="008C6351"/>
    <w:rsid w:val="009025F6"/>
    <w:rsid w:val="00902A27"/>
    <w:rsid w:val="00996991"/>
    <w:rsid w:val="00A10ECC"/>
    <w:rsid w:val="00B41472"/>
    <w:rsid w:val="00BD43CD"/>
    <w:rsid w:val="00C92526"/>
    <w:rsid w:val="00D0383E"/>
    <w:rsid w:val="00E43DB5"/>
    <w:rsid w:val="00EE4EC7"/>
    <w:rsid w:val="00F5405F"/>
    <w:rsid w:val="00F92770"/>
    <w:rsid w:val="00FD5AF6"/>
    <w:rsid w:val="00FD76B8"/>
    <w:rsid w:val="00FE2B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CAF7"/>
  <w15:docId w15:val="{BB3C075D-3BCC-41EB-B971-B3C0A008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6700</Characters>
  <Application>Microsoft Office Word</Application>
  <DocSecurity>0</DocSecurity>
  <Lines>55</Lines>
  <Paragraphs>15</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Angel Luis Villareal Tapia - Adm. UNAS</cp:lastModifiedBy>
  <cp:revision>2</cp:revision>
  <dcterms:created xsi:type="dcterms:W3CDTF">2026-06-16T14:34:00Z</dcterms:created>
  <dcterms:modified xsi:type="dcterms:W3CDTF">2026-06-16T14:34:00Z</dcterms:modified>
</cp:coreProperties>
</file>